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F2937"/>
          <w:sz w:val="44"/>
          <w:szCs w:val="44"/>
        </w:rPr>
        <w:t xml:space="preserve">9-Box Grid Talent Review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Map your team across performance and potential. Type names in each box, then save your filled-in copy.</w:t>
      </w:r>
    </w:p>
    <w:tbl>
      <w:tblPr>
        <w:tblW w:type="dxa" w:w="14397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799"/>
        <w:gridCol w:w="4799"/>
        <w:gridCol w:w="4799"/>
      </w:tblGrid>
      <w:tr>
        <w:trPr>
          <w:trHeight w:val="320" w:hRule="atLeast"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947"/>
                <w:spacing w:val="30"/>
                <w:sz w:val="18"/>
                <w:szCs w:val="18"/>
              </w:rPr>
              <w:t xml:space="preserve">TEAM / DEPARTMENT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947"/>
                <w:spacing w:val="30"/>
                <w:sz w:val="18"/>
                <w:szCs w:val="18"/>
              </w:rPr>
              <w:t xml:space="preserve">PERIOD / QUARTER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60"/>
              <w:left w:type="dxa" w:w="140"/>
              <w:bottom w:type="dxa" w:w="6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947"/>
                <w:spacing w:val="30"/>
                <w:sz w:val="18"/>
                <w:szCs w:val="18"/>
              </w:rPr>
              <w:t xml:space="preserve">REVIEWER</w:t>
            </w:r>
          </w:p>
        </w:tc>
      </w:tr>
      <w:tr>
        <w:trPr>
          <w:trHeight w:val="480" w:hRule="atLeast"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1439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4433"/>
        <w:gridCol w:w="4433"/>
        <w:gridCol w:w="4433"/>
      </w:tblGrid>
      <w:tr>
        <w:trPr>
          <w:trHeight w:val="380" w:hRule="atLeast"/>
        </w:trPr>
        <w:tc>
          <w:tcPr>
            <w:tcW w:type="dxa" w:w="11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FFFFF" w:color="auto" w:val="clea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30"/>
                <w:sz w:val="18"/>
                <w:szCs w:val="18"/>
              </w:rPr>
              <w:t xml:space="preserve">LOW</w:t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30"/>
                <w:sz w:val="18"/>
                <w:szCs w:val="18"/>
              </w:rPr>
              <w:t xml:space="preserve">MEDIUM</w:t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30"/>
                <w:sz w:val="18"/>
                <w:szCs w:val="18"/>
              </w:rPr>
              <w:t xml:space="preserve">HIGH</w:t>
            </w:r>
          </w:p>
        </w:tc>
      </w:tr>
      <w:tr>
        <w:trPr>
          <w:cantSplit/>
          <w:trHeight w:val="460" w:hRule="atLeast"/>
        </w:trPr>
        <w:tc>
          <w:tcPr>
            <w:tcW w:type="dxa" w:w="1100"/>
            <w:vMerge w:val="restart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30"/>
                <w:sz w:val="18"/>
                <w:szCs w:val="18"/>
              </w:rPr>
              <w:t xml:space="preserve">HIGH</w:t>
            </w:r>
          </w:p>
        </w:tc>
        <w:tc>
          <w:tcPr>
            <w:tcW w:type="dxa" w:w="4433"/>
            <w:tcBorders>
              <w:top w:val="single" w:color="7B96B0" w:sz="4"/>
              <w:left w:val="single" w:color="7B96B0" w:sz="4"/>
              <w:bottom w:val="single" w:color="7B96B0" w:sz="4"/>
              <w:right w:val="single" w:color="7B96B0" w:sz="4"/>
            </w:tcBorders>
            <w:shd w:fill="7B96B0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DYSFUNCTIONAL GENIUSES</w:t>
            </w:r>
          </w:p>
        </w:tc>
        <w:tc>
          <w:tcPr>
            <w:tcW w:type="dxa" w:w="4433"/>
            <w:tcBorders>
              <w:top w:val="single" w:color="3D5A80" w:sz="4"/>
              <w:left w:val="single" w:color="3D5A80" w:sz="4"/>
              <w:bottom w:val="single" w:color="3D5A80" w:sz="4"/>
              <w:right w:val="single" w:color="3D5A80" w:sz="4"/>
            </w:tcBorders>
            <w:shd w:fill="3D5A80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HIGH POTENTIALS</w:t>
            </w:r>
          </w:p>
        </w:tc>
        <w:tc>
          <w:tcPr>
            <w:tcW w:type="dxa" w:w="4433"/>
            <w:tcBorders>
              <w:top w:val="single" w:color="0F2947" w:sz="4"/>
              <w:left w:val="single" w:color="0F2947" w:sz="4"/>
              <w:bottom w:val="single" w:color="0F2947" w:sz="4"/>
              <w:right w:val="single" w:color="0F2947" w:sz="4"/>
            </w:tcBorders>
            <w:shd w:fill="0F2947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STARS</w:t>
            </w:r>
          </w:p>
        </w:tc>
      </w:tr>
      <w:tr>
        <w:trPr>
          <w:cantSplit/>
          <w:trHeight w:val="1850" w:hRule="atLeast"/>
        </w:trPr>
        <w:tc>
          <w:tcPr>
            <w:tcW w:type="dxa" w:w="1100"/>
            <w:vMerge w:val="continue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cantSplit/>
          <w:trHeight w:val="460" w:hRule="atLeast"/>
        </w:trPr>
        <w:tc>
          <w:tcPr>
            <w:tcW w:type="dxa" w:w="1100"/>
            <w:vMerge w:val="restart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30"/>
                <w:sz w:val="18"/>
                <w:szCs w:val="18"/>
              </w:rPr>
              <w:t xml:space="preserve">MEDIUM</w:t>
            </w:r>
          </w:p>
        </w:tc>
        <w:tc>
          <w:tcPr>
            <w:tcW w:type="dxa" w:w="4433"/>
            <w:tcBorders>
              <w:top w:val="single" w:color="7B96B0" w:sz="4"/>
              <w:left w:val="single" w:color="7B96B0" w:sz="4"/>
              <w:bottom w:val="single" w:color="7B96B0" w:sz="4"/>
              <w:right w:val="single" w:color="7B96B0" w:sz="4"/>
            </w:tcBorders>
            <w:shd w:fill="7B96B0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INCONSISTENT PERFORMERS</w:t>
            </w:r>
          </w:p>
        </w:tc>
        <w:tc>
          <w:tcPr>
            <w:tcW w:type="dxa" w:w="4433"/>
            <w:tcBorders>
              <w:top w:val="single" w:color="0F2947" w:sz="4"/>
              <w:left w:val="single" w:color="0F2947" w:sz="4"/>
              <w:bottom w:val="single" w:color="0F2947" w:sz="4"/>
              <w:right w:val="single" w:color="0F2947" w:sz="4"/>
            </w:tcBorders>
            <w:shd w:fill="0F2947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CORE PLAYERS</w:t>
            </w:r>
          </w:p>
        </w:tc>
        <w:tc>
          <w:tcPr>
            <w:tcW w:type="dxa" w:w="4433"/>
            <w:tcBorders>
              <w:top w:val="single" w:color="2BA3A0" w:sz="4"/>
              <w:left w:val="single" w:color="2BA3A0" w:sz="4"/>
              <w:bottom w:val="single" w:color="2BA3A0" w:sz="4"/>
              <w:right w:val="single" w:color="2BA3A0" w:sz="4"/>
            </w:tcBorders>
            <w:shd w:fill="2BA3A0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HIGH PERFORMERS</w:t>
            </w:r>
          </w:p>
        </w:tc>
      </w:tr>
      <w:tr>
        <w:trPr>
          <w:cantSplit/>
          <w:trHeight w:val="1850" w:hRule="atLeast"/>
        </w:trPr>
        <w:tc>
          <w:tcPr>
            <w:tcW w:type="dxa" w:w="1100"/>
            <w:vMerge w:val="continue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cantSplit/>
          <w:trHeight w:val="460" w:hRule="atLeast"/>
        </w:trPr>
        <w:tc>
          <w:tcPr>
            <w:tcW w:type="dxa" w:w="1100"/>
            <w:vMerge w:val="restart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30"/>
                <w:sz w:val="18"/>
                <w:szCs w:val="18"/>
              </w:rPr>
              <w:t xml:space="preserve">LOW</w:t>
            </w:r>
          </w:p>
        </w:tc>
        <w:tc>
          <w:tcPr>
            <w:tcW w:type="dxa" w:w="4433"/>
            <w:tcBorders>
              <w:top w:val="single" w:color="0F2947" w:sz="4"/>
              <w:left w:val="single" w:color="0F2947" w:sz="4"/>
              <w:bottom w:val="single" w:color="0F2947" w:sz="4"/>
              <w:right w:val="single" w:color="0F2947" w:sz="4"/>
            </w:tcBorders>
            <w:shd w:fill="0F2947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BAD HIRES</w:t>
            </w:r>
          </w:p>
        </w:tc>
        <w:tc>
          <w:tcPr>
            <w:tcW w:type="dxa" w:w="4433"/>
            <w:tcBorders>
              <w:top w:val="single" w:color="7B96B0" w:sz="4"/>
              <w:left w:val="single" w:color="7B96B0" w:sz="4"/>
              <w:bottom w:val="single" w:color="7B96B0" w:sz="4"/>
              <w:right w:val="single" w:color="7B96B0" w:sz="4"/>
            </w:tcBorders>
            <w:shd w:fill="7B96B0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BACKUPS</w:t>
            </w:r>
          </w:p>
        </w:tc>
        <w:tc>
          <w:tcPr>
            <w:tcW w:type="dxa" w:w="4433"/>
            <w:tcBorders>
              <w:top w:val="single" w:color="2BA3A0" w:sz="4"/>
              <w:left w:val="single" w:color="2BA3A0" w:sz="4"/>
              <w:bottom w:val="single" w:color="2BA3A0" w:sz="4"/>
              <w:right w:val="single" w:color="2BA3A0" w:sz="4"/>
            </w:tcBorders>
            <w:shd w:fill="2BA3A0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WORKHORSES</w:t>
            </w:r>
          </w:p>
        </w:tc>
      </w:tr>
      <w:tr>
        <w:trPr>
          <w:cantSplit/>
          <w:trHeight w:val="1850" w:hRule="atLeast"/>
        </w:trPr>
        <w:tc>
          <w:tcPr>
            <w:tcW w:type="dxa" w:w="1100"/>
            <w:vMerge w:val="continue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43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00"/>
              <w:left w:type="dxa" w:w="140"/>
              <w:bottom w:type="dxa" w:w="120"/>
              <w:right w:type="dxa" w:w="14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1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FFFFF" w:color="auto" w:val="clear"/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299"/>
            <w:gridSpan w:val="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2937"/>
                <w:spacing w:val="50"/>
                <w:sz w:val="20"/>
                <w:szCs w:val="20"/>
              </w:rPr>
              <w:t xml:space="preserve">PERFORMANCE  →</w:t>
            </w:r>
          </w:p>
        </w:tc>
      </w:tr>
    </w:tbl>
    <w:p>
      <w:r>
        <w:br w:type="pag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Notes &amp; Action Plan</w:t>
      </w:r>
    </w:p>
    <w:p>
      <w:pPr>
        <w:spacing w:after="240" w:before="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Capture follow-ups grouped by zone. Each column matches a cluster of the 9-box grid.</w:t>
      </w:r>
    </w:p>
    <w:tbl>
      <w:tblPr>
        <w:tblW w:type="dxa" w:w="14397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799"/>
        <w:gridCol w:w="4799"/>
        <w:gridCol w:w="4799"/>
      </w:tblGrid>
      <w:tr>
        <w:trPr>
          <w:cantSplit/>
          <w:trHeight w:val="480" w:hRule="atLeast"/>
        </w:trPr>
        <w:tc>
          <w:tcPr>
            <w:tcW w:type="dxa" w:w="4799"/>
            <w:tcBorders>
              <w:top w:val="single" w:color="2BA3A0" w:sz="4"/>
              <w:left w:val="single" w:color="2BA3A0" w:sz="4"/>
              <w:bottom w:val="single" w:color="2BA3A0" w:sz="4"/>
              <w:right w:val="single" w:color="2BA3A0" w:sz="4"/>
            </w:tcBorders>
            <w:shd w:fill="2BA3A0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Develop &amp; Promote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EAF1F8"/>
                <w:sz w:val="18"/>
                <w:szCs w:val="18"/>
              </w:rPr>
              <w:t xml:space="preserve">Stars · High Potentials · High Performers</w:t>
            </w:r>
          </w:p>
        </w:tc>
        <w:tc>
          <w:tcPr>
            <w:tcW w:type="dxa" w:w="4799"/>
            <w:tcBorders>
              <w:top w:val="single" w:color="3D5A80" w:sz="4"/>
              <w:left w:val="single" w:color="3D5A80" w:sz="4"/>
              <w:bottom w:val="single" w:color="3D5A80" w:sz="4"/>
              <w:right w:val="single" w:color="3D5A80" w:sz="4"/>
            </w:tcBorders>
            <w:shd w:fill="3D5A80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Engage &amp; Coach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EAF1F8"/>
                <w:sz w:val="18"/>
                <w:szCs w:val="18"/>
              </w:rPr>
              <w:t xml:space="preserve">Core Players · Workhorses · Dysfunctional Geniuses</w:t>
            </w:r>
          </w:p>
        </w:tc>
        <w:tc>
          <w:tcPr>
            <w:tcW w:type="dxa" w:w="4799"/>
            <w:tcBorders>
              <w:top w:val="single" w:color="7B96B0" w:sz="4"/>
              <w:left w:val="single" w:color="7B96B0" w:sz="4"/>
              <w:bottom w:val="single" w:color="7B96B0" w:sz="4"/>
              <w:right w:val="single" w:color="7B96B0" w:sz="4"/>
            </w:tcBorders>
            <w:shd w:fill="7B96B0" w:color="auto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Address &amp; Support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EAF1F8"/>
                <w:sz w:val="18"/>
                <w:szCs w:val="18"/>
              </w:rPr>
              <w:t xml:space="preserve">Bad Hires · Backups · Inconsistent Performers</w:t>
            </w:r>
          </w:p>
        </w:tc>
      </w:tr>
      <w:tr>
        <w:trPr>
          <w:trHeight w:val="4200" w:hRule="atLeast"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top"/>
          </w:tcPr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  <w:p>
            <w:pPr>
              <w:spacing w:after="60" w:before="0" w:line="280"/>
            </w:pPr>
            <w:r>
              <w:rPr>
                <w:rFonts w:ascii="Arial" w:cs="Arial" w:eastAsia="Arial" w:hAnsi="Arial"/>
                <w:color w:val="1F2937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24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Tip: revisit categories every 2–3 review cycles. People move boxes — and so should the plan.</w:t>
      </w:r>
    </w:p>
    <w:p>
      <w:pPr>
        <w:spacing w:after="80" w:before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F2937"/>
          <w:sz w:val="28"/>
          <w:szCs w:val="28"/>
        </w:rPr>
        <w:t xml:space="preserve">Category reference</w:t>
      </w:r>
    </w:p>
    <w:tbl>
      <w:tblPr>
        <w:tblW w:type="dxa" w:w="14397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799"/>
        <w:gridCol w:w="4799"/>
        <w:gridCol w:w="4799"/>
      </w:tblGrid>
      <w:tr>
        <w:trPr>
          <w:trHeight w:val="280" w:hRule="atLeast"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947"/>
                <w:spacing w:val="30"/>
                <w:sz w:val="16"/>
                <w:szCs w:val="16"/>
              </w:rPr>
              <w:t xml:space="preserve">LOW PERFORMANCE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947"/>
                <w:spacing w:val="30"/>
                <w:sz w:val="16"/>
                <w:szCs w:val="16"/>
              </w:rPr>
              <w:t xml:space="preserve">MODERATE PERFORMANCE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2947"/>
                <w:spacing w:val="30"/>
                <w:sz w:val="16"/>
                <w:szCs w:val="16"/>
              </w:rPr>
              <w:t xml:space="preserve">HIGH PERFORMANCE</w:t>
            </w:r>
          </w:p>
        </w:tc>
      </w:tr>
      <w:tr>
        <w:trPr>
          <w:cantSplit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7B96B0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DYSFUNCTIONAL GENIUSES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Coach, realign, or redeploy. Address what is blocking performance.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3D5A80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HIGH POTENTIALS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Accelerate with stretch assignments and targeted training.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0F2947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STARS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Retain, reward, and groom for senior leadership.</w:t>
            </w:r>
          </w:p>
        </w:tc>
      </w:tr>
      <w:tr>
        <w:trPr>
          <w:cantSplit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7B96B0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INCONSISTENT PERFORMERS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Identify barriers. Provide targeted support.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0F2947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CORE PLAYERS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Develop steadily. Prepare for next-level scope.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2BA3A0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HIGH PERFORMERS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Empower with new opportunities. Likely in-function leader.</w:t>
            </w:r>
          </w:p>
        </w:tc>
      </w:tr>
      <w:tr>
        <w:trPr>
          <w:cantSplit/>
        </w:trPr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0F2947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BAD HIRES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Re-evaluate fit. PIP or transition out.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7B96B0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BACKUPS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Reliable in current scope. Recognise consistency.</w:t>
            </w:r>
          </w:p>
        </w:tc>
        <w:tc>
          <w:tcPr>
            <w:tcW w:type="dxa" w:w="4799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color="auto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2BA3A0"/>
                <w:sz w:val="18"/>
                <w:szCs w:val="18"/>
              </w:rPr>
              <w:t xml:space="preserve">■ </w:t>
            </w:r>
            <w:r>
              <w:rPr>
                <w:rFonts w:ascii="Arial" w:cs="Arial" w:eastAsia="Arial" w:hAnsi="Arial"/>
                <w:b/>
                <w:bCs/>
                <w:color w:val="0F2947"/>
                <w:sz w:val="18"/>
                <w:szCs w:val="18"/>
              </w:rPr>
              <w:t xml:space="preserve">WORKHORSES</w:t>
            </w:r>
          </w:p>
          <w:p>
            <w:pPr>
              <w:spacing w:after="0" w:before="0" w:line="240"/>
            </w:pPr>
            <w:r>
              <w:rPr>
                <w:rFonts w:ascii="Arial" w:cs="Arial" w:eastAsia="Arial" w:hAnsi="Arial"/>
                <w:color w:val="1F2937"/>
                <w:sz w:val="17"/>
                <w:szCs w:val="17"/>
              </w:rPr>
              <w:t xml:space="preserve">Reward and retain. Increase job satisfaction.</w:t>
            </w:r>
          </w:p>
        </w:tc>
      </w:tr>
    </w:tbl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F2937"/>
      <w:sz w:val="44"/>
      <w:szCs w:val="4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9-Box Grid Talent Review — Word Template</dc:title>
  <dc:creator>Teamflect</dc:creator>
  <cp:lastModifiedBy>Un-named</cp:lastModifiedBy>
  <cp:revision>1</cp:revision>
  <dcterms:created xsi:type="dcterms:W3CDTF">2026-05-05T12:37:40.697Z</dcterms:created>
  <dcterms:modified xsi:type="dcterms:W3CDTF">2026-05-05T12:37:40.713Z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