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rFonts w:ascii="Arial" w:hAnsi="Arial"/>
          <w:b/>
          <w:color w:val="565FC7"/>
          <w:sz w:val="40"/>
        </w:rPr>
        <w:t>New Employee Onboarding Checklist</w:t>
      </w:r>
    </w:p>
    <w:p>
      <w:pPr>
        <w:spacing w:before="0" w:after="240"/>
      </w:pPr>
      <w:r>
        <w:rPr>
          <w:rFonts w:ascii="Arial" w:hAnsi="Arial"/>
          <w:i/>
          <w:color w:val="333333"/>
          <w:sz w:val="22"/>
        </w:rPr>
        <w:t>A simple, printable checklist covering pre-arrival through ongoing development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Employee Name: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  <w:tc>
          <w:tcPr>
            <w:tcW w:type="dxa" w:w="5112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Date: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</w:tr>
    </w:tbl>
    <w:p/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Pre-Arrival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Send and receive signed offer letter.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Provide any necessary pre-employment paperwork.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Preparation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Prepare work equipment.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Set up email and necessary software accounts.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Send a welcome email with first-day details.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Documentation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Prepare employee handbook and relevant company policies.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Collect necessary identification and tax forms.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Complete any remaining HR paperwork.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Training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Review company policies and procedures.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Ensure computer is set up.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Provide login details and assist with initial setup.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Conduct initial training sessions.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First Week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Review job responsibilities and performance expectations.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Set initial goals and objectives.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Ensure access to necessary software and systems.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Provide training on using these systems.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Schedule one-on-one meetings with key team members.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First Month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Conduct a formal review of the first month's performance.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Discuss any areas for improvement and additional training needs.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Feedback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Collect feedback from the new hire about the onboarding process.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Address any issues or suggestions for improvement.</w:t>
      </w:r>
    </w:p>
    <w:p>
      <w:pPr>
        <w:spacing w:before="240" w:after="120"/>
      </w:pPr>
      <w:r>
        <w:rPr>
          <w:rFonts w:ascii="Arial" w:hAnsi="Arial"/>
          <w:b/>
          <w:color w:val="565FC7"/>
          <w:sz w:val="26"/>
        </w:rPr>
        <w:t>Ongoing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Schedule regular one-on-one meetings with the manager.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Continue to provide feedback and support.</w:t>
      </w:r>
    </w:p>
    <w:p>
      <w:pPr>
        <w:pStyle w:val="ListBullet"/>
        <w:spacing w:before="0" w:after="40"/>
      </w:pPr>
      <w:r>
        <w:rPr>
          <w:rFonts w:ascii="Arial" w:hAnsi="Arial"/>
          <w:color w:val="333333"/>
          <w:sz w:val="22"/>
        </w:rPr>
        <w:t>Discuss long-term career goals and paths within the company.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